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加拿大维多利亚大学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 w:val="32"/>
          <w:szCs w:val="21"/>
        </w:rPr>
        <w:t>访学项目选拔通知</w:t>
      </w:r>
    </w:p>
    <w:p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（</w:t>
      </w:r>
      <w:r>
        <w:rPr>
          <w:rFonts w:cs="Calibri" w:asciiTheme="minorHAnsi" w:hAnsiTheme="minorHAnsi"/>
          <w:kern w:val="0"/>
          <w:szCs w:val="21"/>
        </w:rPr>
        <w:t>2018年</w:t>
      </w:r>
      <w:r>
        <w:rPr>
          <w:rFonts w:hint="eastAsia" w:cs="Calibri" w:asciiTheme="minorHAnsi" w:hAnsiTheme="minorHAnsi"/>
          <w:kern w:val="0"/>
          <w:szCs w:val="21"/>
        </w:rPr>
        <w:t>秋季</w:t>
      </w:r>
      <w:r>
        <w:rPr>
          <w:rFonts w:asciiTheme="minorHAnsi" w:hAnsiTheme="minorHAnsi" w:eastAsiaTheme="majorEastAsia" w:cstheme="minorHAnsi"/>
          <w:kern w:val="0"/>
          <w:szCs w:val="21"/>
        </w:rPr>
        <w:t>）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各学院：</w:t>
      </w:r>
    </w:p>
    <w:p>
      <w:pPr>
        <w:widowControl/>
        <w:spacing w:line="360" w:lineRule="auto"/>
        <w:ind w:firstLine="420"/>
        <w:jc w:val="left"/>
        <w:rPr>
          <w:rFonts w:cs="Calibri" w:asciiTheme="minorHAnsi" w:hAnsiTheme="minorHAnsi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依据我校发展国际化教育的方针和校际合作协议，为实施我校的教育国际化战略，培养具有国际视野和国际竞争力的高素质人才，鼓励我校学生出国（境）深造获得第二校园的学习经历，</w:t>
      </w:r>
      <w:r>
        <w:rPr>
          <w:rFonts w:cs="Calibri" w:asciiTheme="minorHAnsi" w:hAnsiTheme="minorHAnsi"/>
          <w:kern w:val="0"/>
          <w:szCs w:val="21"/>
        </w:rPr>
        <w:t>2018年</w:t>
      </w:r>
      <w:r>
        <w:rPr>
          <w:rFonts w:hint="eastAsia" w:cs="Calibri" w:asciiTheme="minorHAnsi" w:hAnsiTheme="minorHAnsi"/>
          <w:kern w:val="0"/>
          <w:szCs w:val="21"/>
        </w:rPr>
        <w:t>秋季</w:t>
      </w:r>
      <w:r>
        <w:rPr>
          <w:rFonts w:cs="Calibri" w:asciiTheme="minorHAnsi" w:hAnsiTheme="minorHAnsi"/>
          <w:kern w:val="0"/>
          <w:szCs w:val="21"/>
        </w:rPr>
        <w:t>，</w:t>
      </w:r>
      <w:r>
        <w:rPr>
          <w:rFonts w:cs="Calibri" w:asciiTheme="minorHAnsi" w:hAnsiTheme="minorHAnsi"/>
          <w:szCs w:val="21"/>
        </w:rPr>
        <w:t>我校将选派指定名额的优秀在校生前往加拿大顶级学府</w:t>
      </w:r>
      <w:r>
        <w:rPr>
          <w:rFonts w:hint="eastAsia" w:cs="Calibri" w:asciiTheme="minorHAnsi" w:hAnsiTheme="minorHAnsi"/>
          <w:szCs w:val="21"/>
        </w:rPr>
        <w:t>维多利亚</w:t>
      </w:r>
      <w:r>
        <w:rPr>
          <w:rFonts w:cs="Calibri" w:asciiTheme="minorHAnsi" w:hAnsiTheme="minorHAnsi"/>
          <w:szCs w:val="21"/>
        </w:rPr>
        <w:t>大学</w:t>
      </w:r>
      <w:r>
        <w:rPr>
          <w:rFonts w:hint="eastAsia" w:cs="Calibri" w:asciiTheme="minorHAnsi" w:hAnsiTheme="minorHAnsi"/>
          <w:szCs w:val="21"/>
        </w:rPr>
        <w:t>（University of Victoria）</w:t>
      </w:r>
      <w:r>
        <w:rPr>
          <w:rFonts w:cs="Calibri" w:asciiTheme="minorHAnsi" w:hAnsiTheme="minorHAnsi"/>
          <w:szCs w:val="21"/>
        </w:rPr>
        <w:t>，参加为期四个月的访问学习。</w:t>
      </w:r>
    </w:p>
    <w:p>
      <w:pPr>
        <w:widowControl/>
        <w:spacing w:line="360" w:lineRule="auto"/>
        <w:ind w:firstLine="420"/>
        <w:jc w:val="left"/>
        <w:rPr>
          <w:rFonts w:cs="Calibri" w:asciiTheme="minorHAnsi" w:hAnsiTheme="minorHAnsi"/>
          <w:szCs w:val="21"/>
        </w:rPr>
      </w:pPr>
      <w:r>
        <w:rPr>
          <w:rFonts w:cs="Calibri" w:asciiTheme="minorHAnsi" w:hAnsiTheme="minorHAnsi"/>
          <w:szCs w:val="21"/>
        </w:rPr>
        <w:t>2018年</w:t>
      </w:r>
      <w:r>
        <w:rPr>
          <w:rFonts w:hint="eastAsia" w:cs="Calibri" w:asciiTheme="minorHAnsi" w:hAnsiTheme="minorHAnsi"/>
          <w:szCs w:val="21"/>
        </w:rPr>
        <w:t>秋季维多利亚</w:t>
      </w:r>
      <w:r>
        <w:rPr>
          <w:rFonts w:cs="Calibri" w:asciiTheme="minorHAnsi" w:hAnsiTheme="minorHAnsi"/>
          <w:szCs w:val="21"/>
        </w:rPr>
        <w:t>大学访学项目，我校选拔名额为</w:t>
      </w:r>
      <w:r>
        <w:rPr>
          <w:rFonts w:hint="eastAsia" w:cs="Calibri" w:asciiTheme="minorHAnsi" w:hAnsiTheme="minorHAnsi"/>
          <w:szCs w:val="21"/>
          <w:highlight w:val="yellow"/>
          <w:lang w:val="en-US" w:eastAsia="zh-CN"/>
        </w:rPr>
        <w:t>3</w:t>
      </w:r>
      <w:r>
        <w:rPr>
          <w:rFonts w:cs="Calibri" w:asciiTheme="minorHAnsi" w:hAnsiTheme="minorHAnsi"/>
          <w:szCs w:val="21"/>
        </w:rPr>
        <w:t>名，报名截止日期为201</w:t>
      </w:r>
      <w:r>
        <w:rPr>
          <w:rFonts w:hint="eastAsia" w:cs="Calibri" w:asciiTheme="minorHAnsi" w:hAnsiTheme="minorHAnsi"/>
          <w:szCs w:val="21"/>
        </w:rPr>
        <w:t>8</w:t>
      </w:r>
      <w:r>
        <w:rPr>
          <w:rFonts w:cs="Calibri" w:asciiTheme="minorHAnsi" w:hAnsiTheme="minorHAnsi"/>
          <w:szCs w:val="21"/>
        </w:rPr>
        <w:t>年</w:t>
      </w:r>
      <w:r>
        <w:rPr>
          <w:rFonts w:hint="eastAsia" w:cs="Calibri" w:asciiTheme="minorHAnsi" w:hAnsiTheme="minorHAnsi"/>
          <w:szCs w:val="21"/>
        </w:rPr>
        <w:t>5</w:t>
      </w:r>
      <w:r>
        <w:rPr>
          <w:rFonts w:cs="Calibri" w:asciiTheme="minorHAnsi" w:hAnsiTheme="minorHAnsi"/>
          <w:szCs w:val="21"/>
        </w:rPr>
        <w:t>月</w:t>
      </w:r>
      <w:r>
        <w:rPr>
          <w:rFonts w:hint="eastAsia" w:cs="Calibri" w:asciiTheme="minorHAnsi" w:hAnsiTheme="minorHAnsi"/>
          <w:szCs w:val="21"/>
          <w:lang w:val="en-US" w:eastAsia="zh-CN"/>
        </w:rPr>
        <w:t>30</w:t>
      </w:r>
      <w:r>
        <w:rPr>
          <w:rFonts w:cs="Calibri" w:asciiTheme="minorHAnsi" w:hAnsiTheme="minorHAnsi"/>
          <w:szCs w:val="21"/>
        </w:rPr>
        <w:t>日；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color w:val="000000"/>
          <w:szCs w:val="21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项目介绍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1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维多利亚</w:t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大学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>简介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cs="Arial" w:asciiTheme="minorHAnsi" w:hAnsiTheme="minorHAnsi"/>
          <w:color w:val="333333"/>
          <w:kern w:val="0"/>
          <w:szCs w:val="21"/>
        </w:rPr>
        <w:t>维多利亚</w:t>
      </w:r>
      <w:r>
        <w:rPr>
          <w:rFonts w:cs="Arial" w:asciiTheme="minorHAnsi" w:hAnsiTheme="minorHAnsi"/>
          <w:color w:val="333333"/>
          <w:kern w:val="0"/>
          <w:szCs w:val="21"/>
        </w:rPr>
        <w:t>大学 (</w:t>
      </w:r>
      <w:r>
        <w:rPr>
          <w:rFonts w:hint="eastAsia" w:cs="Calibri" w:asciiTheme="minorHAnsi" w:hAnsiTheme="minorHAnsi"/>
          <w:szCs w:val="21"/>
        </w:rPr>
        <w:t>University of Victoria</w:t>
      </w:r>
      <w:r>
        <w:rPr>
          <w:rFonts w:cs="Arial" w:asciiTheme="minorHAnsi" w:hAnsiTheme="minorHAnsi"/>
          <w:color w:val="333333"/>
          <w:kern w:val="0"/>
          <w:szCs w:val="21"/>
        </w:rPr>
        <w:t>)，创建于1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963</w:t>
      </w:r>
      <w:r>
        <w:rPr>
          <w:rFonts w:cs="Arial" w:asciiTheme="minorHAnsi" w:hAnsiTheme="minorHAnsi"/>
          <w:color w:val="333333"/>
          <w:kern w:val="0"/>
          <w:szCs w:val="21"/>
        </w:rPr>
        <w:t>年，是加拿大的一所顶尖学府，</w:t>
      </w:r>
      <w:r>
        <w:rPr>
          <w:rFonts w:hint="eastAsia" w:cs="Arial" w:asciiTheme="minorHAnsi" w:hAnsiTheme="minorHAnsi"/>
          <w:color w:val="333333"/>
          <w:kern w:val="0"/>
          <w:szCs w:val="21"/>
        </w:rPr>
        <w:t>其前身是成立于1903年的麦吉尔大学维多利亚学院</w:t>
      </w:r>
      <w:r>
        <w:rPr>
          <w:rFonts w:cs="Arial" w:asciiTheme="minorHAnsi" w:hAnsiTheme="minorHAnsi"/>
          <w:color w:val="333333"/>
          <w:kern w:val="0"/>
          <w:szCs w:val="21"/>
        </w:rPr>
        <w:t>。</w:t>
      </w:r>
      <w:r>
        <w:rPr>
          <w:rFonts w:hint="eastAsia" w:cs="Arial" w:asciiTheme="minorHAnsi" w:hAnsiTheme="minorHAnsi"/>
          <w:color w:val="333333"/>
          <w:kern w:val="0"/>
          <w:szCs w:val="21"/>
        </w:rPr>
        <w:t xml:space="preserve"> </w:t>
      </w:r>
      <w:r>
        <w:rPr>
          <w:rFonts w:asciiTheme="minorHAnsi" w:hAnsiTheme="minorHAnsi"/>
        </w:rPr>
        <w:t>在201</w:t>
      </w:r>
      <w:r>
        <w:rPr>
          <w:rFonts w:hint="eastAsia" w:asciiTheme="minorHAnsi" w:hAnsiTheme="minorHAnsi"/>
        </w:rPr>
        <w:t>8</w:t>
      </w:r>
      <w:r>
        <w:rPr>
          <w:rFonts w:asciiTheme="minorHAnsi" w:hAnsiTheme="minorHAnsi"/>
        </w:rPr>
        <w:t>年加拿大</w:t>
      </w:r>
      <w:r>
        <w:rPr>
          <w:rFonts w:hint="eastAsia" w:asciiTheme="minorHAnsi" w:hAnsiTheme="minorHAnsi"/>
        </w:rPr>
        <w:t>Maclean杂志的全加综合类大学排名中，维多利亚大学位居第二；</w:t>
      </w:r>
      <w:r>
        <w:rPr>
          <w:rFonts w:asciiTheme="minorHAnsi" w:hAnsiTheme="minorHAnsi"/>
        </w:rPr>
        <w:t>在</w:t>
      </w:r>
      <w:r>
        <w:rPr>
          <w:rFonts w:hint="eastAsia" w:asciiTheme="minorHAnsi" w:hAnsiTheme="minorHAnsi"/>
        </w:rPr>
        <w:t>2018年Times高等教育世界大学综合排名中，维多利亚大学</w:t>
      </w:r>
      <w:r>
        <w:rPr>
          <w:rFonts w:asciiTheme="minorHAnsi" w:hAnsiTheme="minorHAnsi"/>
        </w:rPr>
        <w:t>排名位于</w:t>
      </w:r>
      <w:r>
        <w:rPr>
          <w:rFonts w:hint="eastAsia" w:asciiTheme="minorHAnsi" w:hAnsiTheme="minorHAnsi"/>
        </w:rPr>
        <w:t>301-350；在2016年上海交大世界大学学术排名中，维多利亚大学在科学领域位居101-150。该校下设10个学院，</w:t>
      </w:r>
      <w:r>
        <w:rPr>
          <w:rFonts w:asciiTheme="minorHAnsi" w:hAnsiTheme="minorHAnsi"/>
        </w:rPr>
        <w:t>学生超过</w:t>
      </w:r>
      <w:r>
        <w:rPr>
          <w:rFonts w:hint="eastAsia" w:asciiTheme="minorHAnsi" w:hAnsiTheme="minorHAnsi"/>
        </w:rPr>
        <w:t>2万人，</w:t>
      </w:r>
      <w:r>
        <w:rPr>
          <w:rFonts w:asciiTheme="minorHAnsi" w:hAnsiTheme="minorHAnsi"/>
        </w:rPr>
        <w:t>强势专业包括数理科学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海洋科学</w:t>
      </w:r>
      <w:r>
        <w:rPr>
          <w:rFonts w:hint="eastAsia" w:asciiTheme="minorHAnsi" w:hAnsiTheme="minorHAnsi"/>
        </w:rPr>
        <w:t>、气候研究、</w:t>
      </w:r>
      <w:r>
        <w:rPr>
          <w:rFonts w:asciiTheme="minorHAnsi" w:hAnsiTheme="minorHAnsi"/>
        </w:rPr>
        <w:t>清洁能源技术</w:t>
      </w:r>
      <w:r>
        <w:rPr>
          <w:rFonts w:hint="eastAsia" w:asciiTheme="minorHAnsi" w:hAnsiTheme="minorHAnsi"/>
        </w:rPr>
        <w:t>、</w:t>
      </w:r>
      <w:r>
        <w:rPr>
          <w:rFonts w:asciiTheme="minorHAnsi" w:hAnsiTheme="minorHAnsi"/>
        </w:rPr>
        <w:t>商科等</w:t>
      </w:r>
      <w:r>
        <w:rPr>
          <w:rFonts w:cs="Arial" w:asciiTheme="minorHAnsi" w:hAnsiTheme="minorHAnsi"/>
          <w:color w:val="333333"/>
          <w:kern w:val="0"/>
          <w:szCs w:val="21"/>
        </w:rPr>
        <w:t>。</w:t>
      </w:r>
      <w:r>
        <w:rPr>
          <w:rFonts w:hint="eastAsia" w:cs="Arial" w:asciiTheme="minorHAnsi" w:hAnsiTheme="minorHAnsi"/>
          <w:color w:val="333333"/>
          <w:kern w:val="0"/>
          <w:szCs w:val="21"/>
        </w:rPr>
        <w:br w:type="textWrapping"/>
      </w:r>
      <w:r>
        <w:rPr>
          <w:rFonts w:hint="eastAsia" w:cs="Arial" w:asciiTheme="minorHAnsi" w:hAnsiTheme="minorHAnsi"/>
          <w:color w:val="333333"/>
          <w:kern w:val="0"/>
          <w:szCs w:val="21"/>
        </w:rPr>
        <w:t xml:space="preserve">    </w:t>
      </w:r>
      <w:r>
        <w:rPr>
          <w:rFonts w:hint="eastAsia" w:asciiTheme="minorHAnsi" w:hAnsiTheme="minorHAnsi"/>
        </w:rPr>
        <w:t>学校所处的维多利亚市位于温哥华岛最南端，是加拿大不列颠</w:t>
      </w:r>
      <w:r>
        <w:rPr>
          <w:rFonts w:asciiTheme="minorHAnsi" w:hAnsiTheme="minorHAnsi"/>
        </w:rPr>
        <w:t>哥伦比亚省首府</w:t>
      </w:r>
      <w:r>
        <w:rPr>
          <w:rFonts w:hint="eastAsia" w:asciiTheme="minorHAnsi" w:hAnsiTheme="minorHAnsi"/>
        </w:rPr>
        <w:t>，常年气候温和，风景优美，是加拿大及世界上最宜居的城市之一。</w:t>
      </w:r>
      <w:r>
        <w:rPr>
          <w:rFonts w:asciiTheme="minorHAnsi" w:hAnsiTheme="minorHAnsi"/>
        </w:rPr>
        <w:br w:type="textWrapping"/>
      </w:r>
      <w:r>
        <w:rPr>
          <w:rFonts w:asciiTheme="minorHAnsi" w:hAnsiTheme="minorHAnsi"/>
        </w:rPr>
        <w:t xml:space="preserve">    维多利亚大学的英语语言中心（English Language </w:t>
      </w:r>
      <w:r>
        <w:rPr>
          <w:rFonts w:hint="eastAsia" w:asciiTheme="minorHAnsi" w:hAnsiTheme="minorHAnsi"/>
        </w:rPr>
        <w:t>Center, ELC</w:t>
      </w:r>
      <w:r>
        <w:rPr>
          <w:rFonts w:asciiTheme="minorHAnsi" w:hAnsiTheme="minorHAnsi"/>
        </w:rPr>
        <w:t>）</w:t>
      </w:r>
      <w:r>
        <w:rPr>
          <w:rFonts w:hint="eastAsia" w:asciiTheme="minorHAnsi" w:hAnsiTheme="minorHAnsi"/>
        </w:rPr>
        <w:t>成立于1970年，</w:t>
      </w:r>
      <w:r>
        <w:rPr>
          <w:rFonts w:asciiTheme="minorHAnsi" w:hAnsiTheme="minorHAnsi"/>
        </w:rPr>
        <w:t>隶属于</w:t>
      </w:r>
      <w:r>
        <w:rPr>
          <w:rFonts w:hint="eastAsia" w:asciiTheme="minorHAnsi" w:hAnsiTheme="minorHAnsi"/>
        </w:rPr>
        <w:t>学校</w:t>
      </w:r>
      <w:r>
        <w:rPr>
          <w:rFonts w:asciiTheme="minorHAnsi" w:hAnsiTheme="minorHAnsi"/>
        </w:rPr>
        <w:t>的继续教育部门</w:t>
      </w:r>
      <w:r>
        <w:rPr>
          <w:rFonts w:hint="eastAsia" w:asciiTheme="minorHAnsi" w:hAnsiTheme="minorHAnsi"/>
        </w:rPr>
        <w:t>(Division of Continuing Studies), 具备40多年的丰富教学经验，是加拿大最著名的英语教学中心之一，每年为来自世界各地的3,000多名学生提供优质的英语学习项目。</w:t>
      </w:r>
    </w:p>
    <w:p>
      <w:pPr>
        <w:widowControl/>
        <w:spacing w:line="360" w:lineRule="auto"/>
        <w:ind w:firstLine="422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2、</w:t>
      </w:r>
      <w:r>
        <w:rPr>
          <w:rFonts w:hint="eastAsia" w:asciiTheme="minorHAnsi" w:hAnsiTheme="minorHAnsi" w:eastAsiaTheme="majorEastAsia" w:cstheme="minorHAnsi"/>
          <w:b/>
          <w:bCs/>
          <w:kern w:val="0"/>
          <w:szCs w:val="21"/>
        </w:rPr>
        <w:t xml:space="preserve"> </w:t>
      </w:r>
      <w:r>
        <w:rPr>
          <w:rFonts w:asciiTheme="minorHAnsi" w:hAnsiTheme="minorHAnsi" w:eastAsiaTheme="majorEastAsia" w:cstheme="minorHAnsi"/>
          <w:b/>
          <w:szCs w:val="21"/>
        </w:rPr>
        <w:t>访学</w:t>
      </w:r>
      <w:r>
        <w:rPr>
          <w:rFonts w:hint="eastAsia" w:asciiTheme="minorHAnsi" w:hAnsiTheme="minorHAnsi" w:eastAsiaTheme="majorEastAsia" w:cstheme="minorHAnsi"/>
          <w:b/>
          <w:szCs w:val="21"/>
        </w:rPr>
        <w:t>时间及课程内容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课程时间：</w:t>
      </w:r>
      <w:r>
        <w:rPr>
          <w:rFonts w:asciiTheme="minorHAnsi" w:hAnsiTheme="minorHAnsi" w:eastAsiaTheme="majorEastAsia" w:cstheme="minorHAnsi"/>
          <w:b/>
          <w:szCs w:val="21"/>
        </w:rPr>
        <w:t>2018年</w:t>
      </w:r>
      <w:r>
        <w:rPr>
          <w:rFonts w:hint="eastAsia" w:asciiTheme="minorHAnsi" w:hAnsiTheme="minorHAnsi" w:eastAsiaTheme="majorEastAsia" w:cstheme="minorHAnsi"/>
          <w:b/>
          <w:szCs w:val="21"/>
        </w:rPr>
        <w:t>9</w:t>
      </w:r>
      <w:r>
        <w:rPr>
          <w:rFonts w:asciiTheme="minorHAnsi" w:hAnsiTheme="minorHAnsi" w:eastAsiaTheme="majorEastAsia" w:cstheme="minorHAnsi"/>
          <w:b/>
          <w:szCs w:val="21"/>
        </w:rPr>
        <w:t>月</w:t>
      </w:r>
      <w:r>
        <w:rPr>
          <w:rFonts w:hint="eastAsia" w:asciiTheme="minorHAnsi" w:hAnsiTheme="minorHAnsi" w:eastAsiaTheme="majorEastAsia" w:cstheme="minorHAnsi"/>
          <w:b/>
          <w:szCs w:val="21"/>
        </w:rPr>
        <w:t>10</w:t>
      </w:r>
      <w:r>
        <w:rPr>
          <w:rFonts w:asciiTheme="minorHAnsi" w:hAnsiTheme="minorHAnsi" w:eastAsiaTheme="majorEastAsia" w:cstheme="minorHAnsi"/>
          <w:b/>
          <w:szCs w:val="21"/>
        </w:rPr>
        <w:t xml:space="preserve">日 – </w:t>
      </w:r>
      <w:r>
        <w:rPr>
          <w:rFonts w:hint="eastAsia" w:asciiTheme="minorHAnsi" w:hAnsiTheme="minorHAnsi" w:eastAsiaTheme="majorEastAsia" w:cstheme="minorHAnsi"/>
          <w:b/>
          <w:szCs w:val="21"/>
        </w:rPr>
        <w:t>12</w:t>
      </w:r>
      <w:r>
        <w:rPr>
          <w:rFonts w:asciiTheme="minorHAnsi" w:hAnsiTheme="minorHAnsi" w:eastAsiaTheme="majorEastAsia" w:cstheme="minorHAnsi"/>
          <w:b/>
          <w:szCs w:val="21"/>
        </w:rPr>
        <w:t>月</w:t>
      </w:r>
      <w:r>
        <w:rPr>
          <w:rFonts w:hint="eastAsia" w:asciiTheme="minorHAnsi" w:hAnsiTheme="minorHAnsi" w:eastAsiaTheme="majorEastAsia" w:cstheme="minorHAnsi"/>
          <w:b/>
          <w:szCs w:val="21"/>
        </w:rPr>
        <w:t>5</w:t>
      </w:r>
      <w:r>
        <w:rPr>
          <w:rFonts w:asciiTheme="minorHAnsi" w:hAnsiTheme="minorHAnsi" w:eastAsiaTheme="majorEastAsia" w:cstheme="minorHAnsi"/>
          <w:b/>
          <w:szCs w:val="21"/>
        </w:rPr>
        <w:t>日</w:t>
      </w:r>
    </w:p>
    <w:p>
      <w:pPr>
        <w:spacing w:line="360" w:lineRule="auto"/>
        <w:ind w:firstLine="440" w:firstLineChars="200"/>
        <w:rPr>
          <w:rFonts w:cs="Calibri" w:asciiTheme="minorHAnsi" w:hAnsiTheme="minorHAnsi"/>
          <w:sz w:val="22"/>
          <w:szCs w:val="22"/>
        </w:rPr>
      </w:pPr>
      <w:r>
        <w:rPr>
          <w:rFonts w:hint="eastAsia" w:cs="Calibri" w:asciiTheme="minorHAnsi" w:hAnsiTheme="minorHAnsi"/>
          <w:sz w:val="22"/>
          <w:szCs w:val="22"/>
        </w:rPr>
        <w:t>为期12周的强化英语课程</w:t>
      </w:r>
      <w:r>
        <w:rPr>
          <w:rFonts w:hint="eastAsia" w:asciiTheme="minorHAnsi" w:hAnsiTheme="minorHAnsi" w:eastAsiaTheme="majorEastAsia" w:cstheme="minorHAnsi"/>
          <w:szCs w:val="21"/>
        </w:rPr>
        <w:t>是维多利亚大学英语语言中心最受欢迎的英语项目之一。 每周约30学时， 其中包括：1） 18小时的核心课程，通常每周4天，授课时间为上午8:30-12:45或下午13:00-17:15；2）4小时的选修课程，每周2天，每次2小时，学生可根据自己的兴趣与需求选择2门选修课，主题包括不同级别的英语听力与写作、讨论技巧、商务沟通、跨文化沟通、雅思预备、公众演讲、英语俗语、艺术与设计等；3）8小时的“问诊式”学习，学生可前往专门为语言项目学生设立的ELC学习中心、语音中心和写作中心，与加拿大志愿者练习英语、参加小组项目、或接受个性化的学术辅导与支持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本课程从高级初学者至大学入学预备共分为六个级别，</w:t>
      </w:r>
      <w:r>
        <w:rPr>
          <w:rFonts w:asciiTheme="minorHAnsi" w:hAnsiTheme="minorHAnsi" w:eastAsiaTheme="majorEastAsia" w:cstheme="minorHAnsi"/>
          <w:szCs w:val="21"/>
        </w:rPr>
        <w:t>参加项目的学生</w:t>
      </w:r>
      <w:r>
        <w:rPr>
          <w:rFonts w:hint="eastAsia" w:asciiTheme="minorHAnsi" w:hAnsiTheme="minorHAnsi" w:eastAsiaTheme="majorEastAsia" w:cstheme="minorHAnsi"/>
          <w:szCs w:val="21"/>
        </w:rPr>
        <w:t>将在</w:t>
      </w:r>
      <w:r>
        <w:rPr>
          <w:rFonts w:cs="Calibri" w:asciiTheme="minorHAnsi" w:hAnsiTheme="minorHAnsi"/>
          <w:sz w:val="22"/>
          <w:szCs w:val="22"/>
        </w:rPr>
        <w:t>课程首日参加口语与听力测试</w:t>
      </w:r>
      <w:r>
        <w:rPr>
          <w:rFonts w:hint="eastAsia" w:cs="Calibri" w:asciiTheme="minorHAnsi" w:hAnsiTheme="minorHAnsi"/>
          <w:sz w:val="22"/>
          <w:szCs w:val="22"/>
        </w:rPr>
        <w:t>，并</w:t>
      </w:r>
      <w:r>
        <w:rPr>
          <w:rFonts w:cs="Calibri" w:asciiTheme="minorHAnsi" w:hAnsiTheme="minorHAnsi"/>
          <w:sz w:val="22"/>
          <w:szCs w:val="22"/>
        </w:rPr>
        <w:t>根据测试结果进行分级，以确定参加哪个级别的英语课程。同时</w:t>
      </w:r>
      <w:r>
        <w:rPr>
          <w:rFonts w:hint="eastAsia" w:cs="Calibri" w:asciiTheme="minorHAnsi" w:hAnsiTheme="minorHAnsi"/>
          <w:sz w:val="22"/>
          <w:szCs w:val="22"/>
        </w:rPr>
        <w:t>，</w:t>
      </w:r>
      <w:r>
        <w:rPr>
          <w:rFonts w:cs="Calibri" w:asciiTheme="minorHAnsi" w:hAnsiTheme="minorHAnsi"/>
          <w:sz w:val="22"/>
          <w:szCs w:val="22"/>
        </w:rPr>
        <w:t>项目学生也有机会参加各类丰富多彩的社会文化活动</w:t>
      </w:r>
      <w:r>
        <w:rPr>
          <w:rFonts w:hint="eastAsia" w:cs="Calibri" w:asciiTheme="minorHAnsi" w:hAnsiTheme="minorHAnsi"/>
          <w:sz w:val="22"/>
          <w:szCs w:val="22"/>
        </w:rPr>
        <w:t>。</w:t>
      </w:r>
      <w:r>
        <w:rPr>
          <w:rFonts w:hint="eastAsia" w:cs="Calibri" w:asciiTheme="minorHAnsi" w:hAnsiTheme="minorHAnsi"/>
          <w:sz w:val="22"/>
          <w:szCs w:val="22"/>
        </w:rPr>
        <w:br w:type="textWrapping"/>
      </w:r>
      <w:r>
        <w:rPr>
          <w:rFonts w:cs="Calibri" w:asciiTheme="minorHAnsi" w:hAnsiTheme="minorHAnsi"/>
          <w:sz w:val="22"/>
          <w:szCs w:val="22"/>
        </w:rPr>
        <w:br w:type="textWrapping"/>
      </w:r>
      <w:r>
        <w:rPr>
          <w:rFonts w:hint="eastAsia" w:cs="Calibri"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 w:eastAsiaTheme="majorEastAsia" w:cstheme="minorHAnsi"/>
          <w:szCs w:val="21"/>
        </w:rPr>
        <w:t>参加项目的学生与</w:t>
      </w:r>
      <w:r>
        <w:rPr>
          <w:rFonts w:cs="Arial" w:asciiTheme="minorHAnsi" w:hAnsiTheme="minorHAnsi"/>
          <w:color w:val="333333"/>
          <w:kern w:val="0"/>
          <w:szCs w:val="21"/>
        </w:rPr>
        <w:t>维多利亚</w:t>
      </w:r>
      <w:r>
        <w:rPr>
          <w:rFonts w:asciiTheme="minorHAnsi" w:hAnsiTheme="minorHAnsi" w:eastAsiaTheme="majorEastAsia" w:cstheme="minorHAnsi"/>
          <w:szCs w:val="21"/>
        </w:rPr>
        <w:t>大学在读的语言项目学生混合编班，由</w:t>
      </w:r>
      <w:r>
        <w:rPr>
          <w:rFonts w:cs="Arial" w:asciiTheme="minorHAnsi" w:hAnsiTheme="minorHAnsi"/>
          <w:color w:val="333333"/>
          <w:kern w:val="0"/>
          <w:szCs w:val="21"/>
        </w:rPr>
        <w:t>维多利亚</w:t>
      </w:r>
      <w:r>
        <w:rPr>
          <w:rFonts w:asciiTheme="minorHAnsi" w:hAnsiTheme="minorHAnsi" w:eastAsiaTheme="majorEastAsia" w:cstheme="minorHAnsi"/>
          <w:szCs w:val="21"/>
        </w:rPr>
        <w:t>大学进行统一的学术管理与学术考核，获得</w:t>
      </w:r>
      <w:r>
        <w:rPr>
          <w:rFonts w:hint="eastAsia" w:asciiTheme="minorHAnsi" w:hAnsiTheme="minorHAnsi" w:eastAsiaTheme="majorEastAsia" w:cstheme="minorHAnsi"/>
          <w:szCs w:val="21"/>
        </w:rPr>
        <w:t>维</w:t>
      </w:r>
      <w:r>
        <w:rPr>
          <w:rFonts w:asciiTheme="minorHAnsi" w:hAnsiTheme="minorHAnsi" w:eastAsiaTheme="majorEastAsia" w:cstheme="minorHAnsi"/>
          <w:szCs w:val="21"/>
        </w:rPr>
        <w:t>大正式的成绩单与项目</w:t>
      </w:r>
      <w:r>
        <w:rPr>
          <w:rFonts w:hint="eastAsia" w:asciiTheme="minorHAnsi" w:hAnsiTheme="minorHAnsi" w:eastAsiaTheme="majorEastAsia" w:cstheme="minorHAnsi"/>
          <w:szCs w:val="21"/>
        </w:rPr>
        <w:t>证书</w:t>
      </w:r>
      <w:r>
        <w:rPr>
          <w:rFonts w:asciiTheme="minorHAnsi" w:hAnsiTheme="minorHAnsi" w:eastAsiaTheme="majorEastAsia" w:cstheme="minorHAnsi"/>
          <w:szCs w:val="21"/>
        </w:rPr>
        <w:t>。</w:t>
      </w:r>
    </w:p>
    <w:p>
      <w:pPr>
        <w:spacing w:line="360" w:lineRule="auto"/>
        <w:ind w:firstLine="440" w:firstLineChars="200"/>
        <w:rPr>
          <w:rFonts w:cs="Calibri" w:asciiTheme="minorHAnsi" w:hAnsiTheme="minorHAnsi"/>
          <w:sz w:val="22"/>
          <w:szCs w:val="22"/>
        </w:rPr>
      </w:pPr>
      <w:r>
        <w:rPr>
          <w:rFonts w:hint="eastAsia" w:cs="Calibri" w:asciiTheme="minorHAnsi" w:hAnsiTheme="minorHAnsi"/>
          <w:sz w:val="22"/>
          <w:szCs w:val="22"/>
        </w:rPr>
        <w:t>参加语言文化课程的学生，将入住由校方管理并安排的寄宿家庭，使学生能够更加近距离地体验当地社会文化，迅速提高自己的语言水平。</w:t>
      </w:r>
    </w:p>
    <w:p>
      <w:pPr>
        <w:spacing w:line="360" w:lineRule="auto"/>
        <w:ind w:firstLine="440" w:firstLineChars="200"/>
        <w:rPr>
          <w:rFonts w:cs="Calibri" w:asciiTheme="minorHAnsi" w:hAnsiTheme="minorHAnsi"/>
          <w:sz w:val="22"/>
          <w:szCs w:val="22"/>
        </w:rPr>
      </w:pPr>
    </w:p>
    <w:p>
      <w:pPr>
        <w:pStyle w:val="19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项目费用</w:t>
      </w:r>
    </w:p>
    <w:p>
      <w:pPr>
        <w:widowControl/>
        <w:spacing w:line="360" w:lineRule="auto"/>
        <w:ind w:left="420" w:leftChars="200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维多利亚大</w:t>
      </w:r>
      <w:r>
        <w:rPr>
          <w:rFonts w:asciiTheme="minorHAnsi" w:hAnsiTheme="minorHAnsi" w:eastAsiaTheme="majorEastAsia" w:cstheme="minorHAnsi"/>
          <w:szCs w:val="21"/>
        </w:rPr>
        <w:t>学</w:t>
      </w:r>
      <w:r>
        <w:rPr>
          <w:rFonts w:hint="eastAsia" w:asciiTheme="minorHAnsi" w:hAnsiTheme="minorHAnsi" w:eastAsiaTheme="majorEastAsia" w:cstheme="minorHAnsi"/>
          <w:szCs w:val="21"/>
        </w:rPr>
        <w:t>秋</w:t>
      </w:r>
      <w:r>
        <w:rPr>
          <w:rFonts w:asciiTheme="minorHAnsi" w:hAnsiTheme="minorHAnsi" w:eastAsiaTheme="majorEastAsia" w:cstheme="minorHAnsi"/>
          <w:szCs w:val="21"/>
        </w:rPr>
        <w:t>季语言文化课程的费用</w:t>
      </w:r>
      <w:r>
        <w:rPr>
          <w:rFonts w:hint="eastAsia" w:asciiTheme="minorHAnsi" w:hAnsiTheme="minorHAnsi" w:eastAsiaTheme="majorEastAsia" w:cstheme="minorHAnsi"/>
          <w:szCs w:val="21"/>
        </w:rPr>
        <w:t>约</w:t>
      </w:r>
      <w:r>
        <w:rPr>
          <w:rFonts w:asciiTheme="minorHAnsi" w:hAnsiTheme="minorHAnsi" w:eastAsiaTheme="majorEastAsia" w:cstheme="minorHAnsi"/>
          <w:szCs w:val="21"/>
        </w:rPr>
        <w:t>为</w:t>
      </w:r>
      <w:r>
        <w:rPr>
          <w:rFonts w:hint="eastAsia" w:asciiTheme="minorHAnsi" w:hAnsiTheme="minorHAnsi" w:eastAsiaTheme="majorEastAsia" w:cstheme="minorHAnsi"/>
          <w:color w:val="FF0000"/>
          <w:szCs w:val="21"/>
        </w:rPr>
        <w:t>8,818加元（约合人民币4.6万元）</w:t>
      </w:r>
      <w:r>
        <w:rPr>
          <w:rFonts w:hint="eastAsia" w:asciiTheme="minorHAnsi" w:hAnsiTheme="minorHAnsi" w:eastAsiaTheme="majorEastAsia" w:cstheme="minorHAnsi"/>
          <w:szCs w:val="21"/>
        </w:rPr>
        <w:t>，包括</w:t>
      </w:r>
    </w:p>
    <w:p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课程申请费、</w:t>
      </w:r>
      <w:r>
        <w:rPr>
          <w:rFonts w:hint="eastAsia" w:cs="Calibri"/>
          <w:color w:val="000000"/>
          <w:sz w:val="22"/>
          <w:szCs w:val="22"/>
        </w:rPr>
        <w:t>学费、住宿申请费、寄宿家庭住宿费（含餐）、医疗保险与项目设计管理费；费用不含国际机票、签证费、与其它个人花费。</w:t>
      </w:r>
    </w:p>
    <w:p>
      <w:pPr>
        <w:widowControl/>
        <w:spacing w:line="360" w:lineRule="auto"/>
        <w:ind w:firstLine="420" w:firstLineChars="200"/>
        <w:jc w:val="left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选拔要求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仅限本校全日制在校生；且成绩优异、道德品质好，在校期间未受过纪律处分，身心健康，能顺利完成</w:t>
      </w:r>
      <w:r>
        <w:rPr>
          <w:rFonts w:hint="eastAsia" w:asciiTheme="minorHAnsi" w:hAnsiTheme="minorHAnsi" w:eastAsiaTheme="majorEastAsia" w:cstheme="minorHAnsi"/>
          <w:szCs w:val="21"/>
        </w:rPr>
        <w:t>海外</w:t>
      </w:r>
      <w:r>
        <w:rPr>
          <w:rFonts w:asciiTheme="minorHAnsi" w:hAnsiTheme="minorHAnsi" w:eastAsiaTheme="majorEastAsia" w:cstheme="minorHAnsi"/>
          <w:szCs w:val="21"/>
        </w:rPr>
        <w:t>学习任务；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hint="eastAsia" w:asciiTheme="minorHAnsi" w:hAnsiTheme="minorHAnsi" w:eastAsiaTheme="majorEastAsia" w:cstheme="minorHAnsi"/>
          <w:szCs w:val="21"/>
        </w:rPr>
        <w:t>参加项目的学生在开课时必须年满18岁；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具有良好的英语基础</w:t>
      </w:r>
      <w:r>
        <w:rPr>
          <w:rFonts w:hint="eastAsia" w:asciiTheme="minorHAnsi" w:hAnsiTheme="minorHAnsi" w:eastAsiaTheme="majorEastAsia" w:cstheme="minorHAnsi"/>
          <w:szCs w:val="21"/>
        </w:rPr>
        <w:t>，需通过</w:t>
      </w:r>
      <w:r>
        <w:rPr>
          <w:rFonts w:asciiTheme="minorHAnsi" w:hAnsiTheme="minorHAnsi" w:eastAsiaTheme="majorEastAsia" w:cstheme="minorHAnsi"/>
          <w:szCs w:val="21"/>
        </w:rPr>
        <w:t>维多利亚大学在线语言测试</w:t>
      </w:r>
      <w:r>
        <w:rPr>
          <w:rFonts w:hint="eastAsia" w:asciiTheme="minorHAnsi" w:hAnsiTheme="minorHAnsi" w:eastAsiaTheme="majorEastAsia" w:cstheme="minorHAnsi"/>
          <w:szCs w:val="21"/>
        </w:rPr>
        <w:t xml:space="preserve">； 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家庭具有一定经济基础，能够提供访学所需学费及生活费；</w:t>
      </w:r>
    </w:p>
    <w:p>
      <w:pPr>
        <w:pStyle w:val="19"/>
        <w:numPr>
          <w:ilvl w:val="0"/>
          <w:numId w:val="3"/>
        </w:numPr>
        <w:spacing w:line="360" w:lineRule="auto"/>
        <w:ind w:firstLineChars="0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通过全美国际教育协会的项目面试、</w:t>
      </w:r>
      <w:r>
        <w:rPr>
          <w:rFonts w:hint="eastAsia" w:asciiTheme="minorHAnsi" w:hAnsiTheme="minorHAnsi" w:eastAsiaTheme="majorEastAsia" w:cstheme="minorHAnsi"/>
          <w:szCs w:val="21"/>
        </w:rPr>
        <w:t>加方</w:t>
      </w:r>
      <w:r>
        <w:rPr>
          <w:rFonts w:asciiTheme="minorHAnsi" w:hAnsiTheme="minorHAnsi" w:eastAsiaTheme="majorEastAsia" w:cstheme="minorHAnsi"/>
          <w:szCs w:val="21"/>
        </w:rPr>
        <w:t>大学的学术审核、以及我校院系及国际交流处的派出资格审核。</w:t>
      </w:r>
    </w:p>
    <w:p>
      <w:pPr>
        <w:spacing w:line="360" w:lineRule="auto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kern w:val="0"/>
          <w:szCs w:val="21"/>
        </w:rPr>
        <w:t>项目申请录取方式和报名流程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kern w:val="0"/>
          <w:szCs w:val="21"/>
        </w:rPr>
      </w:pPr>
      <w:r>
        <w:rPr>
          <w:rFonts w:asciiTheme="minorHAnsi" w:hAnsiTheme="minorHAnsi" w:eastAsiaTheme="majorEastAsia" w:cstheme="minorHAnsi"/>
          <w:kern w:val="0"/>
          <w:szCs w:val="21"/>
        </w:rPr>
        <w:t>1</w:t>
      </w:r>
      <w:r>
        <w:rPr>
          <w:rFonts w:hint="eastAsia" w:asciiTheme="minorHAnsi" w:hAnsiTheme="minorHAnsi" w:eastAsiaTheme="majorEastAsia" w:cstheme="minorHAnsi"/>
          <w:kern w:val="0"/>
          <w:szCs w:val="21"/>
        </w:rPr>
        <w:t xml:space="preserve">) </w:t>
      </w:r>
      <w:r>
        <w:rPr>
          <w:rFonts w:asciiTheme="minorHAnsi" w:hAnsiTheme="minorHAnsi" w:eastAsiaTheme="majorEastAsia" w:cstheme="minorHAnsi"/>
          <w:kern w:val="0"/>
          <w:szCs w:val="21"/>
        </w:rPr>
        <w:t xml:space="preserve"> 学生本人提出申请，在学校国际合作交流处（外事处）报名；</w:t>
      </w:r>
    </w:p>
    <w:p>
      <w:pPr>
        <w:spacing w:line="360" w:lineRule="auto"/>
        <w:jc w:val="left"/>
        <w:rPr>
          <w:rFonts w:asciiTheme="minorHAnsi" w:hAnsiTheme="minorHAnsi" w:eastAsiaTheme="majorEastAsia" w:cstheme="minorHAnsi"/>
          <w:szCs w:val="21"/>
        </w:rPr>
      </w:pPr>
      <w:r>
        <w:rPr>
          <w:rFonts w:asciiTheme="minorHAnsi" w:hAnsiTheme="minorHAnsi" w:eastAsiaTheme="majorEastAsia" w:cstheme="minorHAnsi"/>
          <w:szCs w:val="21"/>
        </w:rPr>
        <w:t>2</w:t>
      </w:r>
      <w:r>
        <w:rPr>
          <w:rFonts w:hint="eastAsia" w:asciiTheme="minorHAnsi" w:hAnsiTheme="minorHAnsi" w:eastAsiaTheme="majorEastAsia" w:cstheme="minorHAnsi"/>
          <w:szCs w:val="21"/>
        </w:rPr>
        <w:t xml:space="preserve">) </w:t>
      </w:r>
      <w:r>
        <w:rPr>
          <w:rFonts w:asciiTheme="minorHAnsi" w:hAnsiTheme="minorHAnsi" w:eastAsiaTheme="majorEastAsia" w:cstheme="minorHAnsi"/>
          <w:szCs w:val="21"/>
        </w:rPr>
        <w:t xml:space="preserve"> 同时登录项目选拔管理机构 -- 全美国际教育协会网站www.usiea.org填写《</w:t>
      </w:r>
      <w:r>
        <w:rPr>
          <w:rFonts w:hint="eastAsia" w:asciiTheme="minorHAnsi" w:hAnsiTheme="minorHAnsi" w:eastAsiaTheme="majorEastAsia" w:cstheme="minorHAnsi"/>
          <w:szCs w:val="21"/>
        </w:rPr>
        <w:t>世界</w:t>
      </w:r>
      <w:r>
        <w:rPr>
          <w:rFonts w:asciiTheme="minorHAnsi" w:hAnsiTheme="minorHAnsi" w:eastAsiaTheme="majorEastAsia" w:cstheme="minorHAnsi"/>
          <w:szCs w:val="21"/>
        </w:rPr>
        <w:t>名校访学2018-2019学年冬春项目报名表》，网上报名的时间决定录取的顺序和安排宿舍的顺序；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 w:val="22"/>
        </w:rPr>
      </w:pPr>
      <w:r>
        <w:rPr>
          <w:rFonts w:asciiTheme="minorHAnsi" w:hAnsiTheme="minorHAnsi" w:eastAsiaTheme="majorEastAsia" w:cstheme="minorHAnsi"/>
          <w:szCs w:val="21"/>
        </w:rPr>
        <w:t>学生申请资料经初步审核后，参加面试确定预录取名单；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jc w:val="left"/>
        <w:rPr>
          <w:rFonts w:cs="Calibri" w:asciiTheme="minorHAnsi" w:hAnsiTheme="minorHAnsi"/>
          <w:sz w:val="22"/>
        </w:rPr>
      </w:pPr>
      <w:r>
        <w:rPr>
          <w:rFonts w:cs="Calibri" w:asciiTheme="minorHAnsi" w:hAnsiTheme="minorHAnsi"/>
          <w:sz w:val="22"/>
        </w:rPr>
        <w:t>学生提交正式申请材料并缴纳项目费用，获得学校录取及签证后赴</w:t>
      </w:r>
      <w:r>
        <w:rPr>
          <w:rFonts w:hint="eastAsia" w:cs="Calibri" w:asciiTheme="minorHAnsi" w:hAnsiTheme="minorHAnsi"/>
          <w:sz w:val="22"/>
        </w:rPr>
        <w:t>加</w:t>
      </w:r>
      <w:r>
        <w:rPr>
          <w:rFonts w:cs="Calibri" w:asciiTheme="minorHAnsi" w:hAnsiTheme="minorHAnsi"/>
          <w:sz w:val="22"/>
        </w:rPr>
        <w:t>学习；</w:t>
      </w:r>
    </w:p>
    <w:p>
      <w:pPr>
        <w:numPr>
          <w:ilvl w:val="0"/>
          <w:numId w:val="4"/>
        </w:numPr>
        <w:spacing w:line="360" w:lineRule="auto"/>
        <w:rPr>
          <w:rFonts w:asciiTheme="minorHAnsi" w:hAnsiTheme="minorHAnsi" w:eastAsiaTheme="majorEastAsia" w:cstheme="minorHAnsi"/>
          <w:szCs w:val="21"/>
        </w:rPr>
      </w:pPr>
      <w:r>
        <w:rPr>
          <w:rFonts w:cs="Calibri" w:asciiTheme="minorHAnsi" w:hAnsiTheme="minorHAnsi"/>
          <w:sz w:val="22"/>
        </w:rPr>
        <w:t>申请截止日期： 201</w:t>
      </w:r>
      <w:r>
        <w:rPr>
          <w:rFonts w:hint="eastAsia" w:cs="Calibri" w:asciiTheme="minorHAnsi" w:hAnsiTheme="minorHAnsi"/>
          <w:sz w:val="22"/>
        </w:rPr>
        <w:t>8</w:t>
      </w:r>
      <w:r>
        <w:rPr>
          <w:rFonts w:cs="Calibri" w:asciiTheme="minorHAnsi" w:hAnsiTheme="minorHAnsi"/>
          <w:sz w:val="22"/>
        </w:rPr>
        <w:t>年</w:t>
      </w:r>
      <w:r>
        <w:rPr>
          <w:rFonts w:hint="eastAsia" w:cs="Calibri" w:asciiTheme="minorHAnsi" w:hAnsiTheme="minorHAnsi"/>
          <w:sz w:val="22"/>
        </w:rPr>
        <w:t>5</w:t>
      </w:r>
      <w:r>
        <w:rPr>
          <w:rFonts w:cs="Calibri" w:asciiTheme="minorHAnsi" w:hAnsiTheme="minorHAnsi"/>
          <w:sz w:val="22"/>
        </w:rPr>
        <w:t>月</w:t>
      </w:r>
      <w:r>
        <w:rPr>
          <w:rFonts w:hint="eastAsia" w:cs="Calibri" w:asciiTheme="minorHAnsi" w:hAnsiTheme="minorHAnsi"/>
          <w:sz w:val="22"/>
          <w:lang w:val="en-US" w:eastAsia="zh-CN"/>
        </w:rPr>
        <w:t>30</w:t>
      </w:r>
      <w:r>
        <w:rPr>
          <w:rFonts w:cs="Calibri" w:asciiTheme="minorHAnsi" w:hAnsiTheme="minorHAnsi"/>
          <w:sz w:val="22"/>
        </w:rPr>
        <w:t>日；</w:t>
      </w:r>
    </w:p>
    <w:p>
      <w:pPr>
        <w:spacing w:line="360" w:lineRule="auto"/>
        <w:ind w:left="360"/>
        <w:rPr>
          <w:rFonts w:asciiTheme="minorHAnsi" w:hAnsiTheme="minorHAnsi" w:eastAsiaTheme="majorEastAsia" w:cstheme="minorHAnsi"/>
          <w:szCs w:val="21"/>
        </w:rPr>
      </w:pPr>
    </w:p>
    <w:p>
      <w:pPr>
        <w:pStyle w:val="1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hAnsiTheme="minorHAnsi" w:eastAsiaTheme="majorEastAsia" w:cstheme="minorHAnsi"/>
          <w:b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/>
          <w:bCs/>
          <w:kern w:val="0"/>
          <w:szCs w:val="21"/>
        </w:rPr>
        <w:t>项目管理</w:t>
      </w:r>
    </w:p>
    <w:p>
      <w:pPr>
        <w:spacing w:line="360" w:lineRule="auto"/>
        <w:ind w:firstLine="440" w:firstLineChars="200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/>
          <w:kern w:val="0"/>
          <w:sz w:val="22"/>
        </w:rPr>
        <w:t>本项目由</w:t>
      </w:r>
      <w:r>
        <w:rPr>
          <w:rFonts w:hint="eastAsia" w:ascii="宋体" w:hAnsi="宋体" w:cs="宋体"/>
          <w:kern w:val="0"/>
          <w:sz w:val="22"/>
        </w:rPr>
        <w:t>我校</w:t>
      </w:r>
      <w:r>
        <w:rPr>
          <w:rFonts w:ascii="宋体" w:hAnsi="宋体" w:cs="宋体"/>
          <w:kern w:val="0"/>
          <w:sz w:val="22"/>
        </w:rPr>
        <w:t>国际交流处负责对外联系</w:t>
      </w:r>
      <w:r>
        <w:rPr>
          <w:rFonts w:hint="eastAsia" w:ascii="宋体" w:hAnsi="宋体" w:cs="宋体"/>
          <w:kern w:val="0"/>
          <w:sz w:val="22"/>
        </w:rPr>
        <w:t>、派出管理等相关工作</w:t>
      </w:r>
      <w:r>
        <w:rPr>
          <w:rFonts w:ascii="宋体" w:hAnsi="宋体" w:cs="宋体"/>
          <w:kern w:val="0"/>
          <w:sz w:val="22"/>
        </w:rPr>
        <w:t>。国际</w:t>
      </w:r>
      <w:r>
        <w:rPr>
          <w:rFonts w:hint="eastAsia" w:ascii="宋体" w:hAnsi="宋体" w:cs="宋体"/>
          <w:kern w:val="0"/>
          <w:sz w:val="22"/>
        </w:rPr>
        <w:t>合作</w:t>
      </w:r>
      <w:r>
        <w:rPr>
          <w:rFonts w:ascii="宋体" w:hAnsi="宋体" w:cs="宋体"/>
          <w:kern w:val="0"/>
          <w:sz w:val="22"/>
        </w:rPr>
        <w:t>交流处</w:t>
      </w:r>
      <w:r>
        <w:rPr>
          <w:rFonts w:hint="eastAsia" w:ascii="宋体" w:hAnsi="宋体" w:cs="宋体"/>
          <w:kern w:val="0"/>
          <w:sz w:val="22"/>
        </w:rPr>
        <w:t>、教务处、学院共同</w:t>
      </w:r>
      <w:r>
        <w:rPr>
          <w:rFonts w:ascii="宋体" w:hAnsi="宋体" w:cs="宋体"/>
          <w:kern w:val="0"/>
          <w:sz w:val="22"/>
        </w:rPr>
        <w:t>选拔</w:t>
      </w:r>
      <w:r>
        <w:rPr>
          <w:rFonts w:hint="eastAsia" w:ascii="宋体" w:hAnsi="宋体" w:cs="宋体"/>
          <w:kern w:val="0"/>
          <w:sz w:val="22"/>
        </w:rPr>
        <w:t>派出学生。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宋体" w:hAnsi="宋体" w:cs="宋体"/>
          <w:bCs/>
          <w:kern w:val="0"/>
          <w:sz w:val="22"/>
        </w:rPr>
        <w:t>咨询电话：</w:t>
      </w:r>
      <w:r>
        <w:rPr>
          <w:rFonts w:ascii="宋体" w:hAnsi="宋体" w:cs="宋体"/>
          <w:kern w:val="0"/>
          <w:sz w:val="22"/>
        </w:rPr>
        <w:t>国际交流</w:t>
      </w:r>
      <w:r>
        <w:rPr>
          <w:rFonts w:hint="eastAsia" w:ascii="宋体" w:hAnsi="宋体" w:cs="宋体"/>
          <w:kern w:val="0"/>
          <w:sz w:val="22"/>
        </w:rPr>
        <w:t>与合作</w:t>
      </w:r>
      <w:r>
        <w:rPr>
          <w:rFonts w:ascii="宋体" w:hAnsi="宋体" w:cs="宋体"/>
          <w:kern w:val="0"/>
          <w:sz w:val="22"/>
        </w:rPr>
        <w:t>处</w:t>
      </w:r>
      <w:r>
        <w:rPr>
          <w:rFonts w:hint="eastAsia" w:ascii="宋体" w:hAnsi="宋体" w:cs="宋体"/>
          <w:kern w:val="0"/>
          <w:sz w:val="22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028-85966899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全美国际教育协会咨询电话:</w:t>
      </w: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</w:t>
      </w:r>
      <w:r>
        <w:rPr>
          <w:rFonts w:hint="eastAsia" w:ascii="Calibri" w:hAnsi="Calibri" w:cs="Calibri"/>
          <w:kern w:val="0"/>
          <w:sz w:val="22"/>
        </w:rPr>
        <w:t>18988936428 李老师</w:t>
      </w:r>
      <w:r>
        <w:rPr>
          <w:rFonts w:ascii="Calibri" w:hAnsi="Calibri" w:cs="Calibri"/>
          <w:kern w:val="0"/>
          <w:sz w:val="22"/>
        </w:rPr>
        <w:t>（周一至周五 9:00—18:00）</w:t>
      </w:r>
    </w:p>
    <w:p>
      <w:pPr>
        <w:spacing w:line="360" w:lineRule="auto"/>
        <w:jc w:val="left"/>
        <w:rPr>
          <w:rFonts w:ascii="Calibri" w:hAnsi="Calibri" w:cs="Calibri"/>
          <w:kern w:val="0"/>
          <w:sz w:val="22"/>
          <w:highlight w:val="none"/>
        </w:rPr>
      </w:pPr>
      <w:r>
        <w:rPr>
          <w:rFonts w:ascii="Calibri" w:hAnsi="Calibri" w:cs="Calibri"/>
          <w:kern w:val="0"/>
          <w:sz w:val="22"/>
          <w:highlight w:val="none"/>
        </w:rPr>
        <w:t>全美国际教育协会官网：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"http://www.usiea.org" </w:instrText>
      </w:r>
      <w:r>
        <w:rPr>
          <w:highlight w:val="none"/>
        </w:rPr>
        <w:fldChar w:fldCharType="separate"/>
      </w:r>
      <w:r>
        <w:rPr>
          <w:rFonts w:ascii="Calibri" w:hAnsi="Calibri" w:cs="Calibri"/>
          <w:color w:val="0068B7"/>
          <w:kern w:val="0"/>
          <w:sz w:val="22"/>
          <w:highlight w:val="none"/>
        </w:rPr>
        <w:t>www.usiea.org</w:t>
      </w:r>
      <w:r>
        <w:rPr>
          <w:rFonts w:ascii="Calibri" w:hAnsi="Calibri" w:cs="Calibri"/>
          <w:color w:val="0068B7"/>
          <w:kern w:val="0"/>
          <w:sz w:val="22"/>
          <w:highlight w:val="none"/>
        </w:rPr>
        <w:fldChar w:fldCharType="end"/>
      </w:r>
      <w:r>
        <w:rPr>
          <w:rFonts w:ascii="Calibri" w:hAnsi="Calibri" w:cs="Calibri"/>
          <w:kern w:val="0"/>
          <w:sz w:val="22"/>
          <w:highlight w:val="none"/>
        </w:rPr>
        <w:t xml:space="preserve"> </w:t>
      </w:r>
    </w:p>
    <w:p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t>全美国际教育协会官微：全美国际访学微刊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  <w:bookmarkStart w:id="0" w:name="_GoBack"/>
      <w:bookmarkEnd w:id="0"/>
      <w:r>
        <w:rPr>
          <w:rFonts w:cs="Calibri" w:asciiTheme="minorHAnsi" w:hAnsiTheme="minorHAnsi"/>
          <w:kern w:val="0"/>
          <w:sz w:val="22"/>
        </w:rPr>
        <w:t>项目邮箱咨询：</w:t>
      </w:r>
      <w:r>
        <w:fldChar w:fldCharType="begin"/>
      </w:r>
      <w:r>
        <w:instrText xml:space="preserve"> HYPERLINK "mailto:visituvic@yeah.net" </w:instrText>
      </w:r>
      <w:r>
        <w:fldChar w:fldCharType="separate"/>
      </w:r>
      <w:r>
        <w:rPr>
          <w:rStyle w:val="12"/>
          <w:rFonts w:asciiTheme="minorHAnsi" w:hAnsiTheme="minorHAnsi"/>
        </w:rPr>
        <w:t>visituvic@yeah.net</w:t>
      </w:r>
      <w:r>
        <w:rPr>
          <w:rStyle w:val="12"/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</w:p>
    <w:p>
      <w:pPr>
        <w:widowControl/>
        <w:spacing w:line="360" w:lineRule="auto"/>
        <w:jc w:val="left"/>
        <w:rPr>
          <w:rFonts w:cs="Calibri" w:asciiTheme="minorHAnsi" w:hAnsiTheme="minorHAnsi"/>
          <w:kern w:val="0"/>
          <w:sz w:val="22"/>
        </w:rPr>
      </w:pPr>
    </w:p>
    <w:sectPr>
      <w:headerReference r:id="rId3" w:type="default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169"/>
    <w:multiLevelType w:val="multilevel"/>
    <w:tmpl w:val="461B3169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6B074A81"/>
    <w:multiLevelType w:val="multilevel"/>
    <w:tmpl w:val="6B074A8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8E4972"/>
    <w:multiLevelType w:val="multilevel"/>
    <w:tmpl w:val="6C8E4972"/>
    <w:lvl w:ilvl="0" w:tentative="0">
      <w:start w:val="3"/>
      <w:numFmt w:val="decimal"/>
      <w:lvlText w:val="%1)"/>
      <w:lvlJc w:val="left"/>
      <w:pPr>
        <w:ind w:left="360" w:hanging="360"/>
      </w:pPr>
      <w:rPr>
        <w:rFonts w:hint="default" w:eastAsiaTheme="majorEastAsia" w:cstheme="minorHAnsi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804196"/>
    <w:multiLevelType w:val="multilevel"/>
    <w:tmpl w:val="7A80419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F"/>
    <w:rsid w:val="000035D7"/>
    <w:rsid w:val="0000590A"/>
    <w:rsid w:val="00006712"/>
    <w:rsid w:val="00010F31"/>
    <w:rsid w:val="000169DD"/>
    <w:rsid w:val="00022AFD"/>
    <w:rsid w:val="00022FDB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62BD"/>
    <w:rsid w:val="00040016"/>
    <w:rsid w:val="000402B0"/>
    <w:rsid w:val="00041148"/>
    <w:rsid w:val="00041BDA"/>
    <w:rsid w:val="00044B87"/>
    <w:rsid w:val="00046229"/>
    <w:rsid w:val="000519A2"/>
    <w:rsid w:val="00051A3D"/>
    <w:rsid w:val="0005389A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7B3A"/>
    <w:rsid w:val="000A0A86"/>
    <w:rsid w:val="000A2A22"/>
    <w:rsid w:val="000A4030"/>
    <w:rsid w:val="000A5251"/>
    <w:rsid w:val="000A5300"/>
    <w:rsid w:val="000B1A29"/>
    <w:rsid w:val="000C2F7C"/>
    <w:rsid w:val="000C3F5B"/>
    <w:rsid w:val="000C4E56"/>
    <w:rsid w:val="000C5C18"/>
    <w:rsid w:val="000C7850"/>
    <w:rsid w:val="000C7F9A"/>
    <w:rsid w:val="000D3060"/>
    <w:rsid w:val="000D4BC5"/>
    <w:rsid w:val="000E1209"/>
    <w:rsid w:val="000E71FC"/>
    <w:rsid w:val="000E7915"/>
    <w:rsid w:val="000F10F6"/>
    <w:rsid w:val="000F140D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5431"/>
    <w:rsid w:val="00116EF3"/>
    <w:rsid w:val="00120A5E"/>
    <w:rsid w:val="0012340B"/>
    <w:rsid w:val="0012488E"/>
    <w:rsid w:val="00124B0D"/>
    <w:rsid w:val="00125024"/>
    <w:rsid w:val="00127C1E"/>
    <w:rsid w:val="00127FE8"/>
    <w:rsid w:val="00131D30"/>
    <w:rsid w:val="00134011"/>
    <w:rsid w:val="00135F93"/>
    <w:rsid w:val="00137744"/>
    <w:rsid w:val="00143294"/>
    <w:rsid w:val="00146AB9"/>
    <w:rsid w:val="00167799"/>
    <w:rsid w:val="00167C8D"/>
    <w:rsid w:val="00170451"/>
    <w:rsid w:val="001738F0"/>
    <w:rsid w:val="00175F78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2C48"/>
    <w:rsid w:val="001D4042"/>
    <w:rsid w:val="001D458C"/>
    <w:rsid w:val="001D4EF4"/>
    <w:rsid w:val="001E31D7"/>
    <w:rsid w:val="001E5D98"/>
    <w:rsid w:val="001E6096"/>
    <w:rsid w:val="001F49A8"/>
    <w:rsid w:val="001F5524"/>
    <w:rsid w:val="00201963"/>
    <w:rsid w:val="00202030"/>
    <w:rsid w:val="00203BFF"/>
    <w:rsid w:val="002133F2"/>
    <w:rsid w:val="00213D09"/>
    <w:rsid w:val="0021575D"/>
    <w:rsid w:val="0021711E"/>
    <w:rsid w:val="002202A8"/>
    <w:rsid w:val="00220E2D"/>
    <w:rsid w:val="002211FB"/>
    <w:rsid w:val="0022214B"/>
    <w:rsid w:val="002274D9"/>
    <w:rsid w:val="00230EA2"/>
    <w:rsid w:val="0023347E"/>
    <w:rsid w:val="002441C6"/>
    <w:rsid w:val="0024447C"/>
    <w:rsid w:val="002449A1"/>
    <w:rsid w:val="0024592F"/>
    <w:rsid w:val="00251642"/>
    <w:rsid w:val="00255140"/>
    <w:rsid w:val="00257E0D"/>
    <w:rsid w:val="00260916"/>
    <w:rsid w:val="00261406"/>
    <w:rsid w:val="00261C11"/>
    <w:rsid w:val="00271BCB"/>
    <w:rsid w:val="00275270"/>
    <w:rsid w:val="0028056A"/>
    <w:rsid w:val="002852EE"/>
    <w:rsid w:val="00290E30"/>
    <w:rsid w:val="0029179F"/>
    <w:rsid w:val="00292326"/>
    <w:rsid w:val="00295361"/>
    <w:rsid w:val="00296348"/>
    <w:rsid w:val="00297E1A"/>
    <w:rsid w:val="002A402F"/>
    <w:rsid w:val="002A5AFB"/>
    <w:rsid w:val="002B076D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905"/>
    <w:rsid w:val="002D7B20"/>
    <w:rsid w:val="002E1476"/>
    <w:rsid w:val="002E3299"/>
    <w:rsid w:val="002E4985"/>
    <w:rsid w:val="002E64CC"/>
    <w:rsid w:val="002F04E4"/>
    <w:rsid w:val="002F1A53"/>
    <w:rsid w:val="002F3568"/>
    <w:rsid w:val="002F7AB9"/>
    <w:rsid w:val="0030157A"/>
    <w:rsid w:val="003025DF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3C15"/>
    <w:rsid w:val="00337023"/>
    <w:rsid w:val="00342D9D"/>
    <w:rsid w:val="00342E7E"/>
    <w:rsid w:val="003440CB"/>
    <w:rsid w:val="003504A0"/>
    <w:rsid w:val="00352A1D"/>
    <w:rsid w:val="00353816"/>
    <w:rsid w:val="00361CCF"/>
    <w:rsid w:val="00361F0C"/>
    <w:rsid w:val="00364A0C"/>
    <w:rsid w:val="003738EA"/>
    <w:rsid w:val="00375491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A746B"/>
    <w:rsid w:val="003B4151"/>
    <w:rsid w:val="003B669C"/>
    <w:rsid w:val="003B786E"/>
    <w:rsid w:val="003C6EF7"/>
    <w:rsid w:val="003D092D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E7DA0"/>
    <w:rsid w:val="003F050A"/>
    <w:rsid w:val="003F059B"/>
    <w:rsid w:val="003F50D1"/>
    <w:rsid w:val="003F5F88"/>
    <w:rsid w:val="0041273F"/>
    <w:rsid w:val="0042204E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72046"/>
    <w:rsid w:val="0048136E"/>
    <w:rsid w:val="004847D3"/>
    <w:rsid w:val="00485A90"/>
    <w:rsid w:val="00485AD1"/>
    <w:rsid w:val="00486AA5"/>
    <w:rsid w:val="00486B7F"/>
    <w:rsid w:val="004878DF"/>
    <w:rsid w:val="004932B6"/>
    <w:rsid w:val="004946E0"/>
    <w:rsid w:val="00495E6D"/>
    <w:rsid w:val="004A1602"/>
    <w:rsid w:val="004A51A8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BBA"/>
    <w:rsid w:val="004E0748"/>
    <w:rsid w:val="004E728E"/>
    <w:rsid w:val="004F0AAB"/>
    <w:rsid w:val="004F23F6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20C0E"/>
    <w:rsid w:val="00522EAE"/>
    <w:rsid w:val="005250F2"/>
    <w:rsid w:val="00525703"/>
    <w:rsid w:val="005260BE"/>
    <w:rsid w:val="005263C4"/>
    <w:rsid w:val="00527573"/>
    <w:rsid w:val="005326B5"/>
    <w:rsid w:val="005339BB"/>
    <w:rsid w:val="00534DE3"/>
    <w:rsid w:val="00535F08"/>
    <w:rsid w:val="00536F45"/>
    <w:rsid w:val="00537EE6"/>
    <w:rsid w:val="00541BC9"/>
    <w:rsid w:val="005447E3"/>
    <w:rsid w:val="00547E75"/>
    <w:rsid w:val="00555016"/>
    <w:rsid w:val="00556212"/>
    <w:rsid w:val="005606AC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6D1A"/>
    <w:rsid w:val="005A31F5"/>
    <w:rsid w:val="005A65C8"/>
    <w:rsid w:val="005B5847"/>
    <w:rsid w:val="005B5D60"/>
    <w:rsid w:val="005B69C2"/>
    <w:rsid w:val="005C27A1"/>
    <w:rsid w:val="005C67D4"/>
    <w:rsid w:val="005C7CC0"/>
    <w:rsid w:val="005C7E31"/>
    <w:rsid w:val="005D0683"/>
    <w:rsid w:val="005D6F09"/>
    <w:rsid w:val="005E035C"/>
    <w:rsid w:val="005E262D"/>
    <w:rsid w:val="005E5A41"/>
    <w:rsid w:val="005E674A"/>
    <w:rsid w:val="005E6E17"/>
    <w:rsid w:val="005F6112"/>
    <w:rsid w:val="00602232"/>
    <w:rsid w:val="00606AA2"/>
    <w:rsid w:val="00606C4F"/>
    <w:rsid w:val="006107DC"/>
    <w:rsid w:val="0061228A"/>
    <w:rsid w:val="00617A76"/>
    <w:rsid w:val="0062059D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6295A"/>
    <w:rsid w:val="00663035"/>
    <w:rsid w:val="00664055"/>
    <w:rsid w:val="00666CF9"/>
    <w:rsid w:val="00667457"/>
    <w:rsid w:val="00667A61"/>
    <w:rsid w:val="00670ED6"/>
    <w:rsid w:val="00673E32"/>
    <w:rsid w:val="006740B4"/>
    <w:rsid w:val="00674734"/>
    <w:rsid w:val="0067541F"/>
    <w:rsid w:val="006858D5"/>
    <w:rsid w:val="00687DBB"/>
    <w:rsid w:val="00696B1C"/>
    <w:rsid w:val="0069732D"/>
    <w:rsid w:val="006A2B5F"/>
    <w:rsid w:val="006A32C4"/>
    <w:rsid w:val="006A72B8"/>
    <w:rsid w:val="006B576E"/>
    <w:rsid w:val="006B6F8A"/>
    <w:rsid w:val="006C1F05"/>
    <w:rsid w:val="006C2070"/>
    <w:rsid w:val="006C4426"/>
    <w:rsid w:val="006D5B15"/>
    <w:rsid w:val="006D5C62"/>
    <w:rsid w:val="006D642C"/>
    <w:rsid w:val="006E3A9C"/>
    <w:rsid w:val="006F038D"/>
    <w:rsid w:val="00700978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423FD"/>
    <w:rsid w:val="0074285A"/>
    <w:rsid w:val="0075420F"/>
    <w:rsid w:val="00757990"/>
    <w:rsid w:val="00760C7A"/>
    <w:rsid w:val="007619AD"/>
    <w:rsid w:val="00762330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85C31"/>
    <w:rsid w:val="00793276"/>
    <w:rsid w:val="00795072"/>
    <w:rsid w:val="00795075"/>
    <w:rsid w:val="007A01B4"/>
    <w:rsid w:val="007A03BE"/>
    <w:rsid w:val="007A07E5"/>
    <w:rsid w:val="007A136C"/>
    <w:rsid w:val="007A385D"/>
    <w:rsid w:val="007A3E79"/>
    <w:rsid w:val="007A463F"/>
    <w:rsid w:val="007A7362"/>
    <w:rsid w:val="007B0667"/>
    <w:rsid w:val="007B5A17"/>
    <w:rsid w:val="007B648A"/>
    <w:rsid w:val="007B7729"/>
    <w:rsid w:val="007C2153"/>
    <w:rsid w:val="007C66DE"/>
    <w:rsid w:val="007D0768"/>
    <w:rsid w:val="007D224F"/>
    <w:rsid w:val="007D62F3"/>
    <w:rsid w:val="007E0C8A"/>
    <w:rsid w:val="007E0E50"/>
    <w:rsid w:val="007E1D53"/>
    <w:rsid w:val="007E3816"/>
    <w:rsid w:val="007E513A"/>
    <w:rsid w:val="007E675E"/>
    <w:rsid w:val="007F085E"/>
    <w:rsid w:val="007F50F2"/>
    <w:rsid w:val="007F5700"/>
    <w:rsid w:val="007F79E2"/>
    <w:rsid w:val="00802548"/>
    <w:rsid w:val="00802957"/>
    <w:rsid w:val="00802B47"/>
    <w:rsid w:val="008062A9"/>
    <w:rsid w:val="00810F6E"/>
    <w:rsid w:val="00811B0B"/>
    <w:rsid w:val="00814941"/>
    <w:rsid w:val="00814AA6"/>
    <w:rsid w:val="008153A8"/>
    <w:rsid w:val="00826395"/>
    <w:rsid w:val="008267EE"/>
    <w:rsid w:val="0083050D"/>
    <w:rsid w:val="00832E9B"/>
    <w:rsid w:val="008432ED"/>
    <w:rsid w:val="00843F7D"/>
    <w:rsid w:val="008450F3"/>
    <w:rsid w:val="00855260"/>
    <w:rsid w:val="00860271"/>
    <w:rsid w:val="0086227D"/>
    <w:rsid w:val="00863FEE"/>
    <w:rsid w:val="008653E0"/>
    <w:rsid w:val="00865C09"/>
    <w:rsid w:val="008730BB"/>
    <w:rsid w:val="00880B5C"/>
    <w:rsid w:val="00881CA9"/>
    <w:rsid w:val="00883821"/>
    <w:rsid w:val="0088500C"/>
    <w:rsid w:val="0088679A"/>
    <w:rsid w:val="0089014A"/>
    <w:rsid w:val="008902CF"/>
    <w:rsid w:val="008966E9"/>
    <w:rsid w:val="008A1057"/>
    <w:rsid w:val="008B188A"/>
    <w:rsid w:val="008B4A3B"/>
    <w:rsid w:val="008B56E5"/>
    <w:rsid w:val="008B5BB5"/>
    <w:rsid w:val="008B6065"/>
    <w:rsid w:val="008C1F77"/>
    <w:rsid w:val="008D1223"/>
    <w:rsid w:val="008D3CFE"/>
    <w:rsid w:val="008D5E6C"/>
    <w:rsid w:val="008D7F16"/>
    <w:rsid w:val="008E08E2"/>
    <w:rsid w:val="008E160B"/>
    <w:rsid w:val="008E4534"/>
    <w:rsid w:val="008E54DB"/>
    <w:rsid w:val="008F1045"/>
    <w:rsid w:val="009018E4"/>
    <w:rsid w:val="00903BED"/>
    <w:rsid w:val="00905613"/>
    <w:rsid w:val="00905BF1"/>
    <w:rsid w:val="009111B0"/>
    <w:rsid w:val="00913572"/>
    <w:rsid w:val="00915EF9"/>
    <w:rsid w:val="009171E7"/>
    <w:rsid w:val="00917A3B"/>
    <w:rsid w:val="0092087F"/>
    <w:rsid w:val="0092377F"/>
    <w:rsid w:val="009308D8"/>
    <w:rsid w:val="00930DF7"/>
    <w:rsid w:val="00936821"/>
    <w:rsid w:val="00936E5D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0364"/>
    <w:rsid w:val="00972BCD"/>
    <w:rsid w:val="0097304E"/>
    <w:rsid w:val="0097647D"/>
    <w:rsid w:val="00976B70"/>
    <w:rsid w:val="00983752"/>
    <w:rsid w:val="00983EF6"/>
    <w:rsid w:val="00987939"/>
    <w:rsid w:val="009927BE"/>
    <w:rsid w:val="00994EDE"/>
    <w:rsid w:val="009959F3"/>
    <w:rsid w:val="00995FFE"/>
    <w:rsid w:val="009A100F"/>
    <w:rsid w:val="009A11C1"/>
    <w:rsid w:val="009A27F7"/>
    <w:rsid w:val="009A292D"/>
    <w:rsid w:val="009A312A"/>
    <w:rsid w:val="009A4CAF"/>
    <w:rsid w:val="009A69B5"/>
    <w:rsid w:val="009B0A5E"/>
    <w:rsid w:val="009B0D73"/>
    <w:rsid w:val="009B3167"/>
    <w:rsid w:val="009B34FA"/>
    <w:rsid w:val="009C020C"/>
    <w:rsid w:val="009C44ED"/>
    <w:rsid w:val="009C4F0D"/>
    <w:rsid w:val="009C5700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F0653"/>
    <w:rsid w:val="009F09C7"/>
    <w:rsid w:val="009F1A76"/>
    <w:rsid w:val="009F7FCB"/>
    <w:rsid w:val="00A00B17"/>
    <w:rsid w:val="00A01568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5DC2"/>
    <w:rsid w:val="00A5260B"/>
    <w:rsid w:val="00A60B5F"/>
    <w:rsid w:val="00A61F62"/>
    <w:rsid w:val="00A623DF"/>
    <w:rsid w:val="00A67B5E"/>
    <w:rsid w:val="00A72E16"/>
    <w:rsid w:val="00A73593"/>
    <w:rsid w:val="00A76003"/>
    <w:rsid w:val="00A76D78"/>
    <w:rsid w:val="00A83140"/>
    <w:rsid w:val="00A843DA"/>
    <w:rsid w:val="00A84830"/>
    <w:rsid w:val="00A96197"/>
    <w:rsid w:val="00AA2334"/>
    <w:rsid w:val="00AA4DC4"/>
    <w:rsid w:val="00AB05C6"/>
    <w:rsid w:val="00AB3244"/>
    <w:rsid w:val="00AB66D7"/>
    <w:rsid w:val="00AB694F"/>
    <w:rsid w:val="00AC32C6"/>
    <w:rsid w:val="00AD7BA1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2EB0"/>
    <w:rsid w:val="00B24FF7"/>
    <w:rsid w:val="00B2543C"/>
    <w:rsid w:val="00B26192"/>
    <w:rsid w:val="00B262CD"/>
    <w:rsid w:val="00B316D1"/>
    <w:rsid w:val="00B33B11"/>
    <w:rsid w:val="00B33C5E"/>
    <w:rsid w:val="00B40A66"/>
    <w:rsid w:val="00B41090"/>
    <w:rsid w:val="00B50CF4"/>
    <w:rsid w:val="00B57B39"/>
    <w:rsid w:val="00B60E9C"/>
    <w:rsid w:val="00B63ED6"/>
    <w:rsid w:val="00B6632A"/>
    <w:rsid w:val="00B67C18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1974"/>
    <w:rsid w:val="00BB2026"/>
    <w:rsid w:val="00BC1BD9"/>
    <w:rsid w:val="00BC3B43"/>
    <w:rsid w:val="00BC52DF"/>
    <w:rsid w:val="00BC5535"/>
    <w:rsid w:val="00BD0BB7"/>
    <w:rsid w:val="00BD1289"/>
    <w:rsid w:val="00BD6A1A"/>
    <w:rsid w:val="00BE02A7"/>
    <w:rsid w:val="00BE2788"/>
    <w:rsid w:val="00BE6F4C"/>
    <w:rsid w:val="00BE7E70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5076"/>
    <w:rsid w:val="00C277CB"/>
    <w:rsid w:val="00C35490"/>
    <w:rsid w:val="00C369C9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53A7"/>
    <w:rsid w:val="00CA65E9"/>
    <w:rsid w:val="00CB4339"/>
    <w:rsid w:val="00CB49F9"/>
    <w:rsid w:val="00CB5C2D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E06FC"/>
    <w:rsid w:val="00CE4335"/>
    <w:rsid w:val="00CE665F"/>
    <w:rsid w:val="00CF197E"/>
    <w:rsid w:val="00CF5040"/>
    <w:rsid w:val="00D0229F"/>
    <w:rsid w:val="00D03331"/>
    <w:rsid w:val="00D073EA"/>
    <w:rsid w:val="00D12776"/>
    <w:rsid w:val="00D12D35"/>
    <w:rsid w:val="00D17DB4"/>
    <w:rsid w:val="00D2092D"/>
    <w:rsid w:val="00D31AFE"/>
    <w:rsid w:val="00D332D6"/>
    <w:rsid w:val="00D346FC"/>
    <w:rsid w:val="00D35444"/>
    <w:rsid w:val="00D3691D"/>
    <w:rsid w:val="00D371C4"/>
    <w:rsid w:val="00D41ADE"/>
    <w:rsid w:val="00D471D1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882"/>
    <w:rsid w:val="00D80609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6134"/>
    <w:rsid w:val="00DD7FB4"/>
    <w:rsid w:val="00DE477C"/>
    <w:rsid w:val="00DE7CB6"/>
    <w:rsid w:val="00DF1C7E"/>
    <w:rsid w:val="00DF269B"/>
    <w:rsid w:val="00DF4AB0"/>
    <w:rsid w:val="00DF66EE"/>
    <w:rsid w:val="00DF6776"/>
    <w:rsid w:val="00E00245"/>
    <w:rsid w:val="00E00371"/>
    <w:rsid w:val="00E07A31"/>
    <w:rsid w:val="00E17346"/>
    <w:rsid w:val="00E21BE2"/>
    <w:rsid w:val="00E22994"/>
    <w:rsid w:val="00E23047"/>
    <w:rsid w:val="00E23270"/>
    <w:rsid w:val="00E309FD"/>
    <w:rsid w:val="00E403D4"/>
    <w:rsid w:val="00E403F2"/>
    <w:rsid w:val="00E40561"/>
    <w:rsid w:val="00E414F9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22B4"/>
    <w:rsid w:val="00E92489"/>
    <w:rsid w:val="00E94534"/>
    <w:rsid w:val="00E97970"/>
    <w:rsid w:val="00EA4003"/>
    <w:rsid w:val="00EB0151"/>
    <w:rsid w:val="00EB2B49"/>
    <w:rsid w:val="00EB5B3E"/>
    <w:rsid w:val="00EB7ED2"/>
    <w:rsid w:val="00EC43C8"/>
    <w:rsid w:val="00EC50AC"/>
    <w:rsid w:val="00ED1806"/>
    <w:rsid w:val="00ED205C"/>
    <w:rsid w:val="00ED36BD"/>
    <w:rsid w:val="00ED3F02"/>
    <w:rsid w:val="00ED457C"/>
    <w:rsid w:val="00EE0709"/>
    <w:rsid w:val="00EE0B92"/>
    <w:rsid w:val="00EE0F0E"/>
    <w:rsid w:val="00EE2860"/>
    <w:rsid w:val="00EE51A5"/>
    <w:rsid w:val="00EE68D2"/>
    <w:rsid w:val="00EF14B7"/>
    <w:rsid w:val="00EF44AD"/>
    <w:rsid w:val="00EF53B2"/>
    <w:rsid w:val="00F014F8"/>
    <w:rsid w:val="00F13937"/>
    <w:rsid w:val="00F13F80"/>
    <w:rsid w:val="00F17267"/>
    <w:rsid w:val="00F22886"/>
    <w:rsid w:val="00F27587"/>
    <w:rsid w:val="00F307F9"/>
    <w:rsid w:val="00F3131F"/>
    <w:rsid w:val="00F32538"/>
    <w:rsid w:val="00F34A00"/>
    <w:rsid w:val="00F34D93"/>
    <w:rsid w:val="00F4320A"/>
    <w:rsid w:val="00F4389F"/>
    <w:rsid w:val="00F62AEB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79AC"/>
    <w:rsid w:val="00FA6353"/>
    <w:rsid w:val="00FB02C9"/>
    <w:rsid w:val="00FB32DE"/>
    <w:rsid w:val="00FB3ADA"/>
    <w:rsid w:val="00FB7A50"/>
    <w:rsid w:val="00FC0DF5"/>
    <w:rsid w:val="00FC44B5"/>
    <w:rsid w:val="00FC4EB0"/>
    <w:rsid w:val="00FC6127"/>
    <w:rsid w:val="00FC7A4D"/>
    <w:rsid w:val="00FD08A0"/>
    <w:rsid w:val="00FD1F63"/>
    <w:rsid w:val="00FD2E42"/>
    <w:rsid w:val="00FD4AA6"/>
    <w:rsid w:val="00FE2B9E"/>
    <w:rsid w:val="00FE6123"/>
    <w:rsid w:val="00FE6555"/>
    <w:rsid w:val="00FE6E03"/>
    <w:rsid w:val="00FF51E1"/>
    <w:rsid w:val="00FF5862"/>
    <w:rsid w:val="021A34F1"/>
    <w:rsid w:val="05A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uiPriority w:val="0"/>
    <w:rPr>
      <w:b/>
      <w:bCs/>
    </w:rPr>
  </w:style>
  <w:style w:type="paragraph" w:styleId="4">
    <w:name w:val="annotation text"/>
    <w:basedOn w:val="1"/>
    <w:link w:val="20"/>
    <w:uiPriority w:val="0"/>
    <w:pPr>
      <w:jc w:val="left"/>
    </w:pPr>
  </w:style>
  <w:style w:type="paragraph" w:styleId="5">
    <w:name w:val="Body Text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 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uiPriority w:val="0"/>
    <w:rPr>
      <w:color w:val="0068B7"/>
      <w:u w:val="none"/>
    </w:rPr>
  </w:style>
  <w:style w:type="character" w:styleId="13">
    <w:name w:val="annotation reference"/>
    <w:basedOn w:val="10"/>
    <w:uiPriority w:val="0"/>
    <w:rPr>
      <w:sz w:val="21"/>
      <w:szCs w:val="21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141"/>
    <w:uiPriority w:val="0"/>
    <w:rPr>
      <w:sz w:val="21"/>
      <w:szCs w:val="21"/>
    </w:rPr>
  </w:style>
  <w:style w:type="character" w:customStyle="1" w:styleId="17">
    <w:name w:val="ztag pre"/>
    <w:basedOn w:val="10"/>
    <w:uiPriority w:val="0"/>
  </w:style>
  <w:style w:type="character" w:customStyle="1" w:styleId="18">
    <w:name w:val="已访问的超链接1"/>
    <w:uiPriority w:val="0"/>
    <w:rPr>
      <w:color w:val="800080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7B129D-9100-47DA-B60F-A59C478AE7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316</Words>
  <Characters>1803</Characters>
  <Lines>15</Lines>
  <Paragraphs>4</Paragraphs>
  <ScaleCrop>false</ScaleCrop>
  <LinksUpToDate>false</LinksUpToDate>
  <CharactersWithSpaces>2115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2017-10-09T09:06:00Z</dcterms:created>
  <dc:creator>全美国际教育协会</dc:creator>
  <cp:lastModifiedBy>USIEA-Crystal</cp:lastModifiedBy>
  <cp:lastPrinted>2011-12-16T08:54:00Z</cp:lastPrinted>
  <dcterms:modified xsi:type="dcterms:W3CDTF">2018-01-25T02:54:29Z</dcterms:modified>
  <dc:title>加州大学河滨分校短期访学项目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